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CA-11120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客戶徵授信作業</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配合現行實務作業，證券經紀商除對於開市及收市前有異常大量委託後撤銷之客戶須採預收款券外，減量或改價等變更申報者亦可能有須預收款券之情事，爰修正之。</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客戶交易前之徵授信作業：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客戶交易前之徵授信作業：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開戶或負責徵信審查人員應在客戶申請開戶時，同時請客戶詳實填具「委託人徵信資料表」(内容涵蓋基本資料、資產狀況、投資經驗及希望單日買賣最高額度等)，評估其單日買賣額度(涵蓋信用交易)，並附於開戶契約備查。且辦理徵信人員應就表列事項詳為查證或親自拜訪，除券商公會會員受託買賣有價證券瞭解委託人及徵信與額度管理自律規則(以下簡稱自律規則)第八條第一項之國內外機構投資人、境外華僑及外國人、經專案核准之Foreign Investment Approval account（以下簡稱FIA）及經大陸地區證券主管機關核准之合格機構投資者（以下簡稱大陸機構投資人）外，同時應透過「證券商聯合徵信系統」查詢有無所列之異常情事，並留存查詢紀錄；如發現異常，應詳細查證開戶及徵信資料之正確性，並於徵信與額度審核表內具體說明評估客戶受託買賣額度之標準，且需由業務部門主管或其指派之人員複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經辦開戶或負責徵信審查人員應在客戶申請開戶時，同時請客戶詳實填具「委託人徵信資料表」(内容涵蓋基本資料、資產狀況、投資經驗及希望單日買賣最高額度等)，評估其單日買賣額度(涵蓋信用交易)，並附於開戶契約備查。且辦理徵信人員應就表列事項詳為查證或親自拜訪，除券商公會會員受託買賣有價證券瞭解委託人及徵信與額度管理自律規則(以下簡稱自律規則)第八條第一項之國內外機構投資人、境外華僑及外國人、經專案核准之Foreign Investment Approval account（以下簡稱FIA）及經大陸地區證券主管機關核准之合格機構投資者（以下簡稱大陸機構投資人）外，同時應透過「證券商聯合徵信系統」查詢有無所列之異常情事，並留存查詢紀錄；如發現異常，應詳細查證開戶及徵信資料之正確性，並於徵信與額度審核表內具體說明評估客戶受託買賣額度之標準，且需由業務部門主管或其指派之人員複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經評估客戶單日買賣額度在新臺幣(以下同) 伍佰萬元以上者，應請其出具或提示相關資力證明文件憑核，並留存影本或抄錄相關資料備查，但評估單日買賣額度在壹仟萬元以上者，應留存影本備查。客戶提供之資力證明，得由本人或其配偶、父母、成年子女所有者提供，但非本人所有者，其財產所有人應出具連帶保證責任之聲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經評估客戶單日買賣額度在新臺幣(以下同) 伍佰萬元以上者，應請其出具或提示相關資力證明文件憑核，並留存影本或抄錄相關資料備查，但評估單日買賣額度在壹仟萬元以上者，應留存影本備查。客戶提供之資力證明，得由本人或其配偶、父母、成年子女所有者提供，但非本人所有者，其財產所有人應出具連帶保證責任之聲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徵信人員評估客戶單日買賣額度在伍佰萬元以上，而客戶提供之個人資力證明未達評估額度百分之三十時，應詳述具體可信之事由。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徵信人員評估客戶單日買賣額度在伍佰萬元以上，而客戶提供之個人資力證明未達評估額度百分之三十時，應詳述具體可信之事由。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審核書面文件，應注意其真偽。徵信與額度審核表內之「核准人員簽章」，應以受託買賣主管、營業部經理或分公司經理為限。客戶單日買賣額度之評估情形，應依內部規定，層呈核定後，交營業部門注意控制。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審核書面文件，應注意其真偽。徵信與額度審核表內之「核准人員簽章」，應以受託買賣主管、營業部經理或分公司經理為限。客戶單日買賣額度之評估情形，應依內部規定，層呈核定後，交營業部門注意控制。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經評估客戶單日買賣額度在伍佰萬元以上，須經主管核定且公司應基於專業及風險上之考量，隨時注意客戶資力狀況之變動，於得知客戶資力狀況有顯著變動時予以調查更新其徵信資料。經評估客戶單日買賣額度在壹仟萬元以上者，公司並應每年調查更新其徵信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經評估客戶單日買賣額度在伍佰萬元以上，須經主管核定且公司應基於專業及風險上之考量，隨時注意客戶資力狀況之變動，於得知客戶資力狀況有顯著變動時予以調查更新其徵信資料。經評估客戶單日買賣額度在壹仟萬元以上者，公司並應每年調查更新其徵信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屬自律規則第二十條代理開戶且同時委託代理人辦理買賣及交割者，則評估客戶單日買賣額度不得超過貳仟萬元。惟客戶為法人或全權委託之投資者，應依其實際資力狀況評估其單日買賣額度，不受貳仟萬元額度之限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屬自律規則第二十條代理開戶且同時委託代理人辦理買賣及交割者，則評估客戶單日買賣額度不得超過貳仟萬元。惟客戶為法人或全權委託之投資者，應依其實際資力狀況評估其單日買賣額度，不受貳仟萬元額度之限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境外華僑及外國自然人或外國機構投資人、經專案核准之FIA、國內機構投資人、國內上市上櫃公司、全權委託之投資人、大陸機構投資人及在境內設有分行之外國銀行、海外存託憑證存託機構、大陸地區人民等設有特殊帳號客戶應建立其基本資料詳細瞭解，惟得免檢附票據查詢資料。前述外國機構投資人、國內機構投資人，包括國內外之銀行、保險公司、票券公司、證券商、基金管理公司、政府投資機構、政府基金、退休基金、共同基金、單位信託、證券投資信託公司、證券投資顧問公司、信託業、期貨商、期貨服務事業、學術、慈善機構及其他經證券主管機關核准之機構。無行為能力或限制行為能力者，應查詢其法定代理人或監護人之票據退票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境外華僑及外國自然人或外國機構投資人、經專案核准之FIA、國內機構投資人、國內上市上櫃公司、全權委託之投資人、大陸機構投資人及在境內設有分行之外國銀行、海外存託憑證存託機構、大陸地區人民等設有特殊帳號客戶應建立其基本資料詳細瞭解，惟得免檢附票據查詢資料。前述外國機構投資人、國內機構投資人，包括國內外之銀行、保險公司、票券公司、證券商、基金管理公司、政府投資機構、政府基金、退休基金、共同基金、單位信託、證券投資信託公司、證券投資顧問公司、信託業、期貨商、期貨服務事業、學術、慈善機構及其他經證券主管機關核准之機構。無行為能力或限制行為能力者，應查詢其法定代理人或監護人之票據退票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境外華僑及外國自然人或外國機構投資人、經專案核准之FIA、國內機構投資人及全權委託之投資人、大陸機構投資人及在境內設有分行之外國銀行、海外存託憑證存託機構、大陸地區人民等設有特殊帳號客戶得免提供資力證明文件。國內上市上櫃公司、金融控股公司之子公司及實收資本額超過新台幣伍億元之公開發行公司得以其最近期財務報表為資力證明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境外華僑及外國自然人或外國機構投資人、經專案核准之FIA、國內機構投資人及全權委託之投資人、大陸機構投資人及在境內設有分行之外國銀行、海外存託憑證存託機構、大陸地區人民等設有特殊帳號客戶得免提供資力證明文件。國內上市上櫃公司、金融控股公司之子公司及實收資本額超過新台幣伍億元之公開發行公司得以其最近期財務報表為資力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依自律規則第十二條第一項規定得免提供資力證明文件者，徵信人員應依其對該客戶徵信之瞭解，在公司對客戶之風險控管政策與範圍內，自行評估該客戶之單日買賣最高額度，不受自律規則第十條、第十五條之限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依自律規則第十二條第一項規定得免提供資力證明文件者，徵信人員應依其對該客戶徵信之瞭解，在公司對客戶之風險控管政策與範圍內，自行評估該客戶之單日買賣最高額度，不受自律規則第十條、第十五條之限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客戶如係經由保管機構保管款券之境外華僑及外國自然人或外國機構投資人、國內機構投資人，在公司之風險控管政策原則內，依自行訂定之「瞭解客戶（KYC）」作業程序，執行評估客戶風險之相關程序後，得暫不設定該客戶之單日買賣最高額度。上述客戶未設定單日買賣額度而從事當日沖銷交易或資券相抵交割交易者，應分別依下列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客戶如係經由保管機構保管款券之境外華僑及外國自然人或外國機構投資人、國內機構投資人，在公司之風險控管政策原則內，依自行訂定之「瞭解客戶（KYC）」作業程序，執行評估客戶風險之相關程序後，得暫不設定該客戶之單日買賣最高額度。上述客戶未設定單日買賣額度而從事當日沖銷交易或資券相抵交割交易者，應分別依下列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依有價證券當日沖銷交易作業辦法設定及計算當日沖銷額度。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依有價證券當日沖銷交易作業辦法設定及計算當日沖銷額度。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依信用交易資券相抵交割之交易作業要點設定及計算資券相抵交易額度。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依信用交易資券相抵交割之交易作業要點設定及計算資券相抵交易額度。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公司經營證券相關業務時，依規定如有瞭解客戶（KYC）作業規定者，應依所屬業務之KYC作業規定確實落實執行。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公司經營證券相關業務時，依規定如有瞭解客戶（KYC）作業規定者，應依所屬業務之KYC作業規定確實落實執行。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公司受理非法人團體開戶、徵信及評估買賣額度時，應確實依「中華民國證券商業同業公會會員辦理受託買賣業務瞭解委託人及徵信與額度管理自律規則」辦理。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公司受理非法人團體開戶、徵信及評估買賣額度時，應確實依「中華民國證券商業同業公會會員辦理受託買賣業務瞭解委託人及徵信與額度管理自律規則」辦理。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客戶如發生違約，結案後仍沿用原帳戶者，即應對客戶重新徵信。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客戶如發生違約，結案後仍沿用原帳戶者，即應對客戶重新徵信。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客戶交易後之徵授信管理：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客戶交易後之徵授信管理：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已開立帳戶之客戶，單日買賣額度變更，得由公司填寫徵信資料表，黏貼於開戶契約備查。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已開立帳戶之客戶，單日買賣額度變更，得由公司填寫徵信資料表，黏貼於開戶契約備查。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開戶後之資力狀況有顯著變更，或發生違約，或其交易集中於公布交易(注意)資訊之有價證券金額合計達壹仟伍佰萬元以上時，應先依其前述交易前之徵信程序重新評估其投資能力。公司基於專業及風險上之考量，須調整客戶單日買賣額度(含信用交易額度時)，得以適當之方式通知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開戶後之資力狀況有顯著變更，或發生違約，或其交易集中於公布交易(注意)資訊之有價證券金額合計達壹仟伍佰萬元以上時，應先依其前述交易前之徵信程序重新評估其投資能力。公司基於專業及風險上之考量，須調整客戶單日買賣額度(含信用交易額度時)，得以適當之方式通知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每一營業據點在接受客戶委託買賣某種有價證券，若有適用自律規則第二十五條所訂之情事，且上開客戶在事實發生後之當日或次一營業日委託買賣該種證券之數量、金額亦同時符合自律規則第二十六條第一項所訂條件時，則公司對於上述客戶，除適用自律規則第二十五條第二項者外，應加強其財務徵信及蒐集買賣交割等相關資料，並進行調查，作成查核報告存檔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公司每一營業據點在接受客戶委託買賣某種有價證券，若有適用自律規則第二十五條所訂之情事，且上開客戶在事實發生後之當日或次一營業日委託買賣該種證券之數量、金額亦同時符合自律規則第二十六條第一項所訂條件時，則公司對於上述客戶，除適用自律規則第二十五條第二項者外，應加強其財務徵信及蒐集買賣交割等相關資料，並進行調查，作成查核報告存檔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上開特殊帳號之客戶，應注意其買進或賣出額度是否異常。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上開特殊帳號之客戶，應注意其買進或賣出額度是否異常。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對於客戶有當日沖銷及資券互抵之操作習性者，若有發生大幅虧損狀況者，應重新評估該客戶及其關聯戶之受託買賣額度、資券相抵交易額度及當日沖銷額度，並加強相關風險控管措施。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對於客戶有當日沖銷及資券互抵之操作習性者，若有發生大幅虧損狀況者，應重新評估該客戶及其關聯戶之受託買賣額度、資券相抵交易額度及當日沖銷額度，並加強相關風險控管措施。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經證交所(櫃</w:t>
            </w:r>
            <w:r>
              <w:rPr>
                <w:rFonts w:hint="eastAsia" w:ascii="新細明體" w:hAnsi="新細明體" w:eastAsia="新細明體" w:cs="新細明體"/>
                <w:b/>
                <w:u w:val="single"/>
                <w:color w:val="FF0000 "/>
              </w:rPr>
              <w:t>檯</w:t>
            </w:r>
            <w:r>
              <w:rPr>
                <w:rFonts w:hint="eastAsia" w:ascii="新細明體" w:hAnsi="新細明體" w:eastAsia="新細明體" w:cs="新細明體"/>
              </w:rPr>
              <w:t>買</w:t>
            </w:r>
            <w:r>
              <w:rPr>
                <w:rFonts w:hint="eastAsia" w:ascii="新細明體" w:hAnsi="新細明體" w:eastAsia="新細明體" w:cs="新細明體"/>
                <w:b/>
                <w:u w:val="single"/>
                <w:color w:val="FF0000 "/>
              </w:rPr>
              <w:t>賣</w:t>
            </w:r>
            <w:r>
              <w:rPr>
                <w:rFonts w:hint="eastAsia" w:ascii="新細明體" w:hAnsi="新細明體" w:eastAsia="新細明體" w:cs="新細明體"/>
              </w:rPr>
              <w:t>中心)通知，公司對於開市及收盤前有異常大量委託後撤銷</w:t>
            </w:r>
            <w:r>
              <w:rPr>
                <w:rFonts w:hint="eastAsia" w:ascii="新細明體" w:hAnsi="新細明體" w:eastAsia="新細明體" w:cs="新細明體"/>
                <w:b/>
                <w:u w:val="single"/>
                <w:color w:val="FF0000 "/>
              </w:rPr>
              <w:t>或變更申報</w:t>
            </w:r>
            <w:r>
              <w:rPr>
                <w:rFonts w:hint="eastAsia" w:ascii="新細明體" w:hAnsi="新細明體" w:eastAsia="新細明體" w:cs="新細明體"/>
              </w:rPr>
              <w:t>之客戶須採預收款券，並善意提醒客戶應避免從事證券交易相關法令規定之禁止行為外，另應對該客戶落實徵信與額度管理，且執行委託買賣深入調查作業，並備妥前開所作調查之說明書函復證交所</w:t>
            </w:r>
            <w:r>
              <w:rPr>
                <w:rFonts w:hint="eastAsia" w:ascii="新細明體" w:hAnsi="新細明體" w:eastAsia="新細明體" w:cs="新細明體"/>
                <w:b/>
                <w:u w:val="single"/>
                <w:color w:val="FF0000 "/>
              </w:rPr>
              <w:t>(櫃檯買賣中心)</w:t>
            </w:r>
            <w:r>
              <w:rPr>
                <w:rFonts w:hint="eastAsia" w:ascii="新細明體" w:hAnsi="新細明體" w:eastAsia="新細明體" w:cs="新細明體"/>
              </w:rPr>
              <w:t>備查。前揭委託買賣深入調查說明書應包含：</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經證交所(櫃買中心)通知，公司對於開市及收盤前有異常大量委託後撤銷之客戶須採預收款券，並善意提醒客戶應避免從事證券交易相關法令規定之禁止行為外，另應對該客戶落實徵信與額度管理，且執行委託買賣深入調查作業，並備妥前開所作調查之說明書函復證交所備查。前揭委託買賣深入調查說明書應包含：</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該客戶大量委託後撤銷</w:t>
            </w:r>
            <w:r>
              <w:rPr>
                <w:rFonts w:hint="eastAsia" w:ascii="新細明體" w:hAnsi="新細明體" w:eastAsia="新細明體" w:cs="新細明體"/>
                <w:b/>
                <w:u w:val="single"/>
                <w:color w:val="FF0000 "/>
              </w:rPr>
              <w:t>或變更申報</w:t>
            </w:r>
            <w:r>
              <w:rPr>
                <w:rFonts w:hint="eastAsia" w:ascii="新細明體" w:hAnsi="新細明體" w:eastAsia="新細明體" w:cs="新細明體"/>
              </w:rPr>
              <w:t>之原因。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該客戶大量委託後撤銷之原因。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經公司進行宣導後，該客戶是否確實知悉相關規範。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經公司進行宣導後，該客戶是否確實知悉相關規範。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最近一次瞭解該客戶暨徵信與額度管理作業之執行情形。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最近一次瞭解該客戶暨徵信與額度管理作業之執行情形。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受查期間(依證交所</w:t>
            </w:r>
            <w:r>
              <w:rPr>
                <w:rFonts w:hint="eastAsia" w:ascii="新細明體" w:hAnsi="新細明體" w:eastAsia="新細明體" w:cs="新細明體"/>
                <w:b/>
                <w:u w:val="single"/>
                <w:color w:val="FF0000 "/>
              </w:rPr>
              <w:t>或櫃檯買賣中心</w:t>
            </w:r>
            <w:r>
              <w:rPr>
                <w:rFonts w:hint="eastAsia" w:ascii="新細明體" w:hAnsi="新細明體" w:eastAsia="新細明體" w:cs="新細明體"/>
              </w:rPr>
              <w:t>通知函所載)該客戶之委託方式、成交情形及分層負責等相關控管作業。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受查期間(依證交所通知函所載)該客戶之委託方式、成交情形及分層負責等相關控管作業。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預收款券、融資自備款或融券保證金等相關作業之設控方式。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預收款券、融資自備款或融券保證金等相關作業之設控方式。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考量相關營運成本、交易風險、合理利潤及該客戶整體貢獻度等因素評估予該客戶之手續費折讓是否妥適。</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考量相關營運成本、交易風險、合理利潤及該客戶整體貢獻度等因素評估予該客戶之手續費折讓是否妥適。</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公司受理客戶開戶、徵信及評估買賣額度時，應確實依「中華民國證券商業同業公會會員辦理受託買賣業務瞭解委託人及徵信與額度管理自律規則」辦理。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公司受理客戶開戶、徵信及評估買賣額度時，應確實依「中華民國證券商業同業公會會員辦理受託買賣業務瞭解委託人及徵信與額度管理自律規則」辦理。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開戶經辦人員及營業員應對申請開戶之僑外人投資之資金及法人之組成股東，作必要之查詢，並填具「非基金型態之僑外投資人資金檢查表」留存備查。若經查疑為中資者，另應通報證交所轉報主管機關處理。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開戶經辦人員及營業員應對申請開戶之僑外人投資之資金及法人之組成股東，作必要之查詢，並填具「非基金型態之僑外投資人資金檢查表」留存備查。若經查疑為中資者，另應通報證交所轉報主管機關處理。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pPr>
            <w:r>
              <w:rPr>
                <w:rFonts w:hint="eastAsia" w:ascii="新細明體" w:hAnsi="新細明體" w:eastAsia="新細明體" w:cs="新細明體"/>
              </w:rPr>
              <w:t>註：財富管理業務之徵信採單一窗口作業者，與本章規定如有不同，以CA-19120規定為準。</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pPr>
            <w:r>
              <w:rPr>
                <w:rFonts w:hint="eastAsia" w:ascii="新細明體" w:hAnsi="新細明體" w:eastAsia="新細明體" w:cs="新細明體"/>
              </w:rPr>
              <w:t>註：財富管理業務之徵信採單一窗口作業者，與本章規定如有不同，以CA-19120規定為準。</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